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600" w:lineRule="exact"/>
        <w:ind w:firstLine="0"/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val="en-US" w:eastAsia="zh-CN"/>
        </w:rPr>
        <w:t>8月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份全市经济运行情况</w:t>
      </w:r>
    </w:p>
    <w:p>
      <w:pPr>
        <w:widowControl/>
        <w:spacing w:before="30" w:after="30"/>
        <w:ind w:left="150" w:right="30"/>
        <w:jc w:val="left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cs="仿宋_GB2312"/>
          <w:color w:val="FF0000"/>
          <w:kern w:val="0"/>
          <w:szCs w:val="32"/>
        </w:rPr>
        <w:t xml:space="preserve">   </w:t>
      </w:r>
    </w:p>
    <w:p>
      <w:pPr>
        <w:widowControl/>
        <w:spacing w:before="30" w:after="30" w:line="640" w:lineRule="exact"/>
        <w:ind w:left="224" w:leftChars="71" w:right="30" w:firstLine="632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</w:pPr>
      <w:r>
        <w:rPr>
          <w:rFonts w:hint="eastAsia"/>
          <w:sz w:val="32"/>
          <w:szCs w:val="32"/>
          <w:highlight w:val="none"/>
          <w:lang w:val="en-US" w:eastAsia="zh-CN"/>
        </w:rPr>
        <w:t>8</w:t>
      </w:r>
      <w:r>
        <w:rPr>
          <w:rFonts w:hint="eastAsia" w:eastAsia="仿宋_GB2312"/>
          <w:sz w:val="32"/>
          <w:szCs w:val="32"/>
          <w:highlight w:val="none"/>
        </w:rPr>
        <w:t>月份，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固定资产投资</w:t>
      </w:r>
      <w:r>
        <w:rPr>
          <w:rFonts w:hint="eastAsia" w:ascii="仿宋_GB2312" w:hAnsi="仿宋_GB2312" w:cs="仿宋_GB2312"/>
          <w:kern w:val="0"/>
          <w:sz w:val="32"/>
          <w:szCs w:val="32"/>
          <w:highlight w:val="none"/>
          <w:lang w:eastAsia="zh-CN"/>
        </w:rPr>
        <w:t>指标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增速提升</w:t>
      </w:r>
      <w:r>
        <w:rPr>
          <w:rFonts w:hint="eastAsia" w:ascii="仿宋_GB2312" w:hAnsi="仿宋_GB2312" w:cs="仿宋_GB2312"/>
          <w:kern w:val="0"/>
          <w:sz w:val="32"/>
          <w:szCs w:val="32"/>
          <w:highlight w:val="none"/>
          <w:lang w:eastAsia="zh-CN"/>
        </w:rPr>
        <w:t>，规模以上工业增加值、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限上消费品零售额、一般公共预算收入、金融机构存贷款余额指标增速较上月有所回落。</w:t>
      </w:r>
    </w:p>
    <w:p>
      <w:pPr>
        <w:pStyle w:val="2"/>
        <w:spacing w:line="600" w:lineRule="exact"/>
        <w:ind w:firstLine="632" w:firstLineChars="200"/>
        <w:jc w:val="left"/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楷体" w:hAnsi="楷体" w:eastAsia="楷体"/>
          <w:b/>
          <w:color w:val="000000"/>
          <w:szCs w:val="32"/>
        </w:rPr>
        <w:t xml:space="preserve"> 1.工业生产。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 w:bidi="ar-SA"/>
        </w:rPr>
        <w:t>8月份，全市规模以上工业增加值同比</w:t>
      </w:r>
      <w:r>
        <w:rPr>
          <w:rFonts w:hint="eastAsia" w:hAnsi="仿宋_GB2312" w:cs="仿宋_GB2312"/>
          <w:kern w:val="0"/>
          <w:sz w:val="32"/>
          <w:szCs w:val="32"/>
          <w:highlight w:val="none"/>
          <w:lang w:val="en-US" w:eastAsia="zh-CN" w:bidi="ar-SA"/>
        </w:rPr>
        <w:t>下降2.1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 w:bidi="ar-SA"/>
        </w:rPr>
        <w:t>%。分三大门类看，采矿业增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加值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下降2.4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%；制造业增长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1.5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%；电力、热力、燃气及水生产和供应业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下降5.1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%。分行业看，全市36个大类行业中有1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8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个增加值同比保持增长。煤电行业增加值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下降3.6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%，非煤电行业增加值增长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1.9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%，其中，农副食品加工业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增长15.6%，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化学原料和化学制品制造业增长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13.9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%，电气机械和器材制造业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增长15.0%，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计算机、通信和其他电子设备制造业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增长43.0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%。分产品看，原煤下降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3.3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%；洗煤增长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5.5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%；发电量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下降7.0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%；水泥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下降10.5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%；乳制品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下降18.1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%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；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滚动轴承增长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3.0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%，汽车下降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34.6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%。</w:t>
      </w:r>
    </w:p>
    <w:p>
      <w:pPr>
        <w:pStyle w:val="2"/>
        <w:spacing w:line="600" w:lineRule="exact"/>
        <w:ind w:firstLine="632" w:firstLineChars="200"/>
        <w:jc w:val="left"/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1-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8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月份，全市规模以上工业增加值同比增长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6.6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%，其中，煤电行业增加值同比增长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5.2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%，非煤电行业增加值同比增长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10.0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%。</w:t>
      </w:r>
    </w:p>
    <w:p>
      <w:pPr>
        <w:pStyle w:val="2"/>
        <w:spacing w:line="600" w:lineRule="exact"/>
        <w:ind w:firstLine="632" w:firstLineChars="200"/>
        <w:jc w:val="left"/>
        <w:rPr>
          <w:rFonts w:ascii="Times New Roman" w:hAnsi="Times New Roman"/>
          <w:color w:val="000000"/>
          <w:szCs w:val="32"/>
        </w:rPr>
      </w:pPr>
      <w:r>
        <w:rPr>
          <w:rFonts w:hint="eastAsia" w:ascii="Times New Roman" w:hAnsi="Times New Roman"/>
          <w:color w:val="000000"/>
          <w:szCs w:val="32"/>
        </w:rPr>
        <w:t>1</w:t>
      </w:r>
      <w:r>
        <w:rPr>
          <w:rFonts w:hint="eastAsia"/>
          <w:szCs w:val="32"/>
        </w:rPr>
        <w:t>-</w:t>
      </w:r>
      <w:r>
        <w:rPr>
          <w:rFonts w:hint="eastAsia"/>
          <w:szCs w:val="32"/>
          <w:lang w:val="en-US" w:eastAsia="zh-CN"/>
        </w:rPr>
        <w:t>8</w:t>
      </w:r>
      <w:r>
        <w:rPr>
          <w:rFonts w:hint="eastAsia" w:ascii="Times New Roman" w:hAnsi="Times New Roman"/>
          <w:color w:val="000000"/>
          <w:szCs w:val="32"/>
        </w:rPr>
        <w:t>月份，全市工业用电量</w:t>
      </w:r>
      <w:r>
        <w:rPr>
          <w:rFonts w:hint="eastAsia" w:ascii="Times New Roman" w:hAnsi="Times New Roman"/>
          <w:color w:val="000000"/>
          <w:szCs w:val="32"/>
          <w:lang w:val="en-US" w:eastAsia="zh-CN"/>
        </w:rPr>
        <w:t>38.9</w:t>
      </w:r>
      <w:r>
        <w:rPr>
          <w:rFonts w:hint="eastAsia" w:ascii="Times New Roman" w:hAnsi="Times New Roman"/>
          <w:color w:val="000000"/>
          <w:szCs w:val="32"/>
        </w:rPr>
        <w:t>亿千瓦时，同比</w:t>
      </w:r>
      <w:r>
        <w:rPr>
          <w:rFonts w:hint="eastAsia" w:ascii="Times New Roman" w:hAnsi="Times New Roman"/>
          <w:color w:val="000000"/>
          <w:szCs w:val="32"/>
          <w:lang w:eastAsia="zh-CN"/>
        </w:rPr>
        <w:t>增长</w:t>
      </w:r>
      <w:r>
        <w:rPr>
          <w:rFonts w:hint="eastAsia" w:ascii="Times New Roman" w:hAnsi="Times New Roman"/>
          <w:color w:val="000000"/>
          <w:szCs w:val="32"/>
          <w:lang w:val="en-US" w:eastAsia="zh-CN"/>
        </w:rPr>
        <w:t>3.1</w:t>
      </w:r>
      <w:r>
        <w:rPr>
          <w:rFonts w:hint="eastAsia" w:ascii="Times New Roman" w:hAnsi="Times New Roman"/>
          <w:color w:val="000000"/>
          <w:szCs w:val="32"/>
        </w:rPr>
        <w:t>%。</w:t>
      </w:r>
    </w:p>
    <w:p>
      <w:pPr>
        <w:pStyle w:val="2"/>
        <w:spacing w:line="600" w:lineRule="exact"/>
        <w:ind w:firstLine="632" w:firstLineChars="200"/>
        <w:jc w:val="left"/>
        <w:rPr>
          <w:rFonts w:ascii="Times New Roman" w:hAnsi="Times New Roman"/>
          <w:color w:val="000000"/>
          <w:szCs w:val="32"/>
        </w:rPr>
      </w:pPr>
      <w:r>
        <w:rPr>
          <w:rFonts w:hint="eastAsia" w:ascii="楷体" w:hAnsi="楷体" w:eastAsia="楷体"/>
          <w:b/>
          <w:color w:val="000000"/>
          <w:szCs w:val="32"/>
        </w:rPr>
        <w:t>2.固定资产投资。</w:t>
      </w:r>
      <w:r>
        <w:rPr>
          <w:rFonts w:hint="eastAsia" w:ascii="Times New Roman" w:hAnsi="Times New Roman"/>
          <w:color w:val="000000"/>
          <w:szCs w:val="32"/>
        </w:rPr>
        <w:t>1</w:t>
      </w:r>
      <w:r>
        <w:rPr>
          <w:rFonts w:hint="eastAsia"/>
          <w:szCs w:val="32"/>
        </w:rPr>
        <w:t>-</w:t>
      </w:r>
      <w:r>
        <w:rPr>
          <w:rFonts w:hint="eastAsia"/>
          <w:szCs w:val="32"/>
          <w:lang w:val="en-US" w:eastAsia="zh-CN"/>
        </w:rPr>
        <w:t>8</w:t>
      </w:r>
      <w:r>
        <w:rPr>
          <w:rFonts w:hint="eastAsia" w:ascii="Times New Roman" w:hAnsi="Times New Roman"/>
          <w:color w:val="000000"/>
          <w:szCs w:val="32"/>
        </w:rPr>
        <w:t>月份，全市固定资产投资同比</w:t>
      </w:r>
      <w:r>
        <w:rPr>
          <w:rFonts w:hint="eastAsia" w:ascii="Times New Roman" w:hAnsi="Times New Roman"/>
          <w:color w:val="000000"/>
          <w:szCs w:val="32"/>
          <w:lang w:eastAsia="zh-CN"/>
        </w:rPr>
        <w:t>增长</w:t>
      </w:r>
      <w:r>
        <w:rPr>
          <w:rFonts w:hint="eastAsia" w:ascii="Times New Roman" w:hAnsi="Times New Roman"/>
          <w:color w:val="000000"/>
          <w:szCs w:val="32"/>
          <w:lang w:val="en-US" w:eastAsia="zh-CN"/>
        </w:rPr>
        <w:t>9.2</w:t>
      </w:r>
      <w:r>
        <w:rPr>
          <w:rFonts w:hint="eastAsia" w:ascii="Times New Roman" w:hAnsi="Times New Roman"/>
          <w:color w:val="000000"/>
          <w:szCs w:val="32"/>
        </w:rPr>
        <w:t>%。其中：500万元以上项目投资同比</w:t>
      </w:r>
      <w:r>
        <w:rPr>
          <w:rFonts w:hint="eastAsia" w:ascii="Times New Roman" w:hAnsi="Times New Roman"/>
          <w:color w:val="000000"/>
          <w:szCs w:val="32"/>
          <w:lang w:eastAsia="zh-CN"/>
        </w:rPr>
        <w:t>增长</w:t>
      </w:r>
      <w:r>
        <w:rPr>
          <w:rFonts w:hint="eastAsia" w:ascii="Times New Roman" w:hAnsi="Times New Roman"/>
          <w:color w:val="000000"/>
          <w:szCs w:val="32"/>
          <w:lang w:val="en-US" w:eastAsia="zh-CN"/>
        </w:rPr>
        <w:t>17.3</w:t>
      </w:r>
      <w:r>
        <w:rPr>
          <w:rFonts w:hint="eastAsia" w:ascii="Times New Roman" w:hAnsi="Times New Roman"/>
          <w:color w:val="000000"/>
          <w:szCs w:val="32"/>
        </w:rPr>
        <w:t>%。分产业看，500万元以上项目中，第一产业投资同比</w:t>
      </w:r>
      <w:r>
        <w:rPr>
          <w:rFonts w:hint="eastAsia" w:ascii="Times New Roman" w:hAnsi="Times New Roman"/>
          <w:color w:val="000000"/>
          <w:szCs w:val="32"/>
          <w:lang w:eastAsia="zh-CN"/>
        </w:rPr>
        <w:t>下降</w:t>
      </w:r>
      <w:r>
        <w:rPr>
          <w:rFonts w:hint="eastAsia" w:ascii="Times New Roman" w:hAnsi="Times New Roman"/>
          <w:color w:val="000000"/>
          <w:szCs w:val="32"/>
          <w:lang w:val="en-US" w:eastAsia="zh-CN"/>
        </w:rPr>
        <w:t>22.0</w:t>
      </w:r>
      <w:r>
        <w:rPr>
          <w:rFonts w:hint="eastAsia" w:ascii="Times New Roman" w:hAnsi="Times New Roman"/>
          <w:color w:val="000000"/>
          <w:szCs w:val="32"/>
        </w:rPr>
        <w:t>%；第二产业投资同比</w:t>
      </w:r>
      <w:r>
        <w:rPr>
          <w:rFonts w:hint="eastAsia" w:ascii="Times New Roman" w:hAnsi="Times New Roman"/>
          <w:color w:val="000000"/>
          <w:szCs w:val="32"/>
          <w:lang w:eastAsia="zh-CN"/>
        </w:rPr>
        <w:t>增长</w:t>
      </w:r>
      <w:r>
        <w:rPr>
          <w:rFonts w:hint="eastAsia" w:ascii="Times New Roman" w:hAnsi="Times New Roman"/>
          <w:color w:val="000000"/>
          <w:szCs w:val="32"/>
          <w:lang w:val="en-US" w:eastAsia="zh-CN"/>
        </w:rPr>
        <w:t>13.2</w:t>
      </w:r>
      <w:r>
        <w:rPr>
          <w:rFonts w:hint="eastAsia" w:ascii="Times New Roman" w:hAnsi="Times New Roman"/>
          <w:color w:val="000000"/>
          <w:szCs w:val="32"/>
        </w:rPr>
        <w:t>%；第三产业投资</w:t>
      </w:r>
      <w:r>
        <w:rPr>
          <w:rFonts w:hint="eastAsia" w:ascii="Times New Roman" w:hAnsi="Times New Roman"/>
          <w:color w:val="000000"/>
          <w:szCs w:val="32"/>
          <w:lang w:eastAsia="zh-CN"/>
        </w:rPr>
        <w:t>增长</w:t>
      </w:r>
      <w:r>
        <w:rPr>
          <w:rFonts w:hint="eastAsia" w:ascii="Times New Roman" w:hAnsi="Times New Roman"/>
          <w:color w:val="000000"/>
          <w:szCs w:val="32"/>
          <w:lang w:val="en-US" w:eastAsia="zh-CN"/>
        </w:rPr>
        <w:t>24.8</w:t>
      </w:r>
      <w:r>
        <w:rPr>
          <w:rFonts w:hint="eastAsia" w:ascii="Times New Roman" w:hAnsi="Times New Roman"/>
          <w:color w:val="000000"/>
          <w:szCs w:val="32"/>
        </w:rPr>
        <w:t>%。分项目看，1</w:t>
      </w:r>
      <w:r>
        <w:rPr>
          <w:rFonts w:hint="eastAsia"/>
          <w:szCs w:val="32"/>
        </w:rPr>
        <w:t>-</w:t>
      </w:r>
      <w:r>
        <w:rPr>
          <w:rFonts w:hint="eastAsia"/>
          <w:szCs w:val="32"/>
          <w:lang w:val="en-US" w:eastAsia="zh-CN"/>
        </w:rPr>
        <w:t>8</w:t>
      </w:r>
      <w:r>
        <w:rPr>
          <w:rFonts w:hint="eastAsia" w:ascii="Times New Roman" w:hAnsi="Times New Roman"/>
          <w:color w:val="000000"/>
          <w:szCs w:val="32"/>
        </w:rPr>
        <w:t>月份，全市500万元以上投资项目个数同比</w:t>
      </w:r>
      <w:r>
        <w:rPr>
          <w:rFonts w:hint="eastAsia" w:ascii="Times New Roman" w:hAnsi="Times New Roman"/>
          <w:color w:val="000000"/>
          <w:szCs w:val="32"/>
          <w:lang w:eastAsia="zh-CN"/>
        </w:rPr>
        <w:t>增长</w:t>
      </w:r>
      <w:r>
        <w:rPr>
          <w:rFonts w:hint="eastAsia" w:ascii="Times New Roman" w:hAnsi="Times New Roman"/>
          <w:color w:val="000000"/>
          <w:szCs w:val="32"/>
          <w:lang w:val="en-US" w:eastAsia="zh-CN"/>
        </w:rPr>
        <w:t>42.4</w:t>
      </w:r>
      <w:r>
        <w:rPr>
          <w:rFonts w:hint="eastAsia" w:ascii="Times New Roman" w:hAnsi="Times New Roman"/>
          <w:color w:val="000000"/>
          <w:szCs w:val="32"/>
        </w:rPr>
        <w:t>%，其中，续建项目个数同比</w:t>
      </w:r>
      <w:r>
        <w:rPr>
          <w:rFonts w:hint="eastAsia" w:ascii="Times New Roman" w:hAnsi="Times New Roman"/>
          <w:color w:val="000000"/>
          <w:szCs w:val="32"/>
          <w:lang w:eastAsia="zh-CN"/>
        </w:rPr>
        <w:t>增长</w:t>
      </w:r>
      <w:r>
        <w:rPr>
          <w:rFonts w:hint="eastAsia" w:ascii="Times New Roman" w:hAnsi="Times New Roman"/>
          <w:color w:val="000000"/>
          <w:szCs w:val="32"/>
          <w:lang w:val="en-US" w:eastAsia="zh-CN"/>
        </w:rPr>
        <w:t>53.7</w:t>
      </w:r>
      <w:r>
        <w:rPr>
          <w:rFonts w:hint="eastAsia" w:ascii="Times New Roman" w:hAnsi="Times New Roman"/>
          <w:color w:val="000000"/>
          <w:szCs w:val="32"/>
        </w:rPr>
        <w:t>%，民间投资项目个数同比</w:t>
      </w:r>
      <w:r>
        <w:rPr>
          <w:rFonts w:hint="eastAsia" w:ascii="Times New Roman" w:hAnsi="Times New Roman"/>
          <w:color w:val="000000"/>
          <w:szCs w:val="32"/>
          <w:lang w:eastAsia="zh-CN"/>
        </w:rPr>
        <w:t>增长</w:t>
      </w:r>
      <w:r>
        <w:rPr>
          <w:rFonts w:hint="eastAsia" w:ascii="Times New Roman" w:hAnsi="Times New Roman"/>
          <w:color w:val="000000"/>
          <w:szCs w:val="32"/>
          <w:lang w:val="en-US" w:eastAsia="zh-CN"/>
        </w:rPr>
        <w:t>34.2</w:t>
      </w:r>
      <w:r>
        <w:rPr>
          <w:rFonts w:hint="eastAsia" w:ascii="Times New Roman" w:hAnsi="Times New Roman"/>
          <w:color w:val="000000"/>
          <w:szCs w:val="32"/>
        </w:rPr>
        <w:t>%。</w:t>
      </w:r>
    </w:p>
    <w:p>
      <w:pPr>
        <w:pStyle w:val="2"/>
        <w:spacing w:line="600" w:lineRule="exact"/>
        <w:ind w:firstLine="632" w:firstLineChars="200"/>
        <w:jc w:val="left"/>
        <w:rPr>
          <w:rFonts w:hint="eastAsia" w:ascii="Times New Roman" w:hAnsi="Times New Roman"/>
          <w:color w:val="000000"/>
          <w:szCs w:val="32"/>
          <w:lang w:val="en-US" w:eastAsia="zh-CN"/>
        </w:rPr>
      </w:pPr>
      <w:r>
        <w:rPr>
          <w:rFonts w:hint="eastAsia" w:ascii="楷体" w:hAnsi="楷体" w:eastAsia="楷体"/>
          <w:b/>
          <w:color w:val="000000"/>
          <w:szCs w:val="32"/>
          <w:lang w:val="en-US" w:eastAsia="zh-CN"/>
        </w:rPr>
        <w:t>3.</w:t>
      </w:r>
      <w:r>
        <w:rPr>
          <w:rFonts w:hint="eastAsia" w:ascii="楷体" w:hAnsi="楷体" w:eastAsia="楷体"/>
          <w:b/>
          <w:color w:val="000000"/>
          <w:szCs w:val="32"/>
        </w:rPr>
        <w:t>消费市场。</w:t>
      </w:r>
      <w:r>
        <w:rPr>
          <w:rFonts w:hint="eastAsia" w:ascii="Times New Roman" w:hAnsi="Times New Roman"/>
          <w:color w:val="000000"/>
          <w:szCs w:val="32"/>
          <w:lang w:val="en-US" w:eastAsia="zh-CN"/>
        </w:rPr>
        <w:t>8月份，全市实现限额以上消费品零售额12.7亿元，同比下降19.9%。分消费形态看，餐饮收入0.9亿元，同比增长9.9%；商品零售额11.8亿元，同比下降21.7%。分商品看，石油及制品类下降51.7%；汽车类下降1.5%；粮油、食品类增长19.2%。</w:t>
      </w:r>
    </w:p>
    <w:p>
      <w:pPr>
        <w:pStyle w:val="2"/>
        <w:spacing w:line="600" w:lineRule="exact"/>
        <w:ind w:firstLine="632" w:firstLineChars="200"/>
        <w:jc w:val="left"/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1-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8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月份，全市实现限额以上消费品零售额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97.0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亿元，同比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下降9.5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%。</w:t>
      </w:r>
    </w:p>
    <w:p>
      <w:pPr>
        <w:pStyle w:val="2"/>
        <w:spacing w:line="600" w:lineRule="exact"/>
        <w:ind w:firstLine="632" w:firstLineChars="200"/>
        <w:jc w:val="left"/>
        <w:rPr>
          <w:rFonts w:hint="eastAsia" w:ascii="Times New Roman" w:hAnsi="Times New Roman"/>
          <w:color w:val="000000"/>
          <w:szCs w:val="32"/>
          <w:lang w:val="en-US" w:eastAsia="zh-CN"/>
        </w:rPr>
      </w:pPr>
      <w:r>
        <w:rPr>
          <w:rFonts w:hint="eastAsia" w:ascii="楷体" w:hAnsi="楷体" w:eastAsia="楷体"/>
          <w:b/>
          <w:color w:val="000000"/>
          <w:szCs w:val="32"/>
        </w:rPr>
        <w:t>4.进出口总额。</w:t>
      </w:r>
      <w:r>
        <w:rPr>
          <w:rFonts w:hint="eastAsia" w:ascii="Times New Roman" w:hAnsi="Times New Roman"/>
          <w:color w:val="000000"/>
          <w:szCs w:val="32"/>
          <w:lang w:val="en-US" w:eastAsia="zh-CN"/>
        </w:rPr>
        <w:t>1-8月份，全市进出口总额78913万美元，同比增长50.6%。其中，进口4713万美元，同比增长113.1%；出口74200万美元，同比增长47.8%。</w:t>
      </w:r>
    </w:p>
    <w:p>
      <w:pPr>
        <w:pStyle w:val="2"/>
        <w:spacing w:line="600" w:lineRule="exact"/>
        <w:ind w:firstLine="632" w:firstLineChars="200"/>
        <w:jc w:val="left"/>
        <w:rPr>
          <w:rFonts w:hint="eastAsia" w:ascii="Times New Roman" w:hAnsi="Times New Roman"/>
          <w:color w:val="auto"/>
          <w:szCs w:val="32"/>
        </w:rPr>
      </w:pPr>
      <w:r>
        <w:rPr>
          <w:rFonts w:hint="eastAsia" w:ascii="Times New Roman" w:hAnsi="Times New Roman"/>
          <w:color w:val="auto"/>
          <w:szCs w:val="32"/>
        </w:rPr>
        <w:t>1-</w:t>
      </w:r>
      <w:r>
        <w:rPr>
          <w:rFonts w:hint="eastAsia" w:ascii="Times New Roman" w:hAnsi="Times New Roman"/>
          <w:color w:val="auto"/>
          <w:szCs w:val="32"/>
          <w:lang w:val="en-US" w:eastAsia="zh-CN"/>
        </w:rPr>
        <w:t>8</w:t>
      </w:r>
      <w:r>
        <w:rPr>
          <w:rFonts w:hint="eastAsia" w:ascii="Times New Roman" w:hAnsi="Times New Roman"/>
          <w:color w:val="auto"/>
          <w:szCs w:val="32"/>
        </w:rPr>
        <w:t>月份，全市实际利用外商直接投资</w:t>
      </w:r>
      <w:r>
        <w:rPr>
          <w:rFonts w:hint="eastAsia" w:ascii="Times New Roman" w:hAnsi="Times New Roman"/>
          <w:color w:val="auto"/>
          <w:szCs w:val="32"/>
          <w:lang w:val="en-US" w:eastAsia="zh-CN"/>
        </w:rPr>
        <w:t>25452</w:t>
      </w:r>
      <w:r>
        <w:rPr>
          <w:rFonts w:hint="eastAsia" w:ascii="Times New Roman" w:hAnsi="Times New Roman"/>
          <w:color w:val="auto"/>
          <w:szCs w:val="32"/>
        </w:rPr>
        <w:t>万美元，同比增长</w:t>
      </w:r>
      <w:r>
        <w:rPr>
          <w:rFonts w:hint="eastAsia" w:ascii="Times New Roman" w:hAnsi="Times New Roman"/>
          <w:color w:val="auto"/>
          <w:szCs w:val="32"/>
          <w:lang w:val="en-US" w:eastAsia="zh-CN"/>
        </w:rPr>
        <w:t>11.1</w:t>
      </w:r>
      <w:r>
        <w:rPr>
          <w:rFonts w:hint="eastAsia" w:ascii="Times New Roman" w:hAnsi="Times New Roman"/>
          <w:color w:val="auto"/>
          <w:szCs w:val="32"/>
        </w:rPr>
        <w:t>%。</w:t>
      </w:r>
    </w:p>
    <w:p>
      <w:pPr>
        <w:pStyle w:val="2"/>
        <w:spacing w:line="600" w:lineRule="exact"/>
        <w:ind w:firstLine="632" w:firstLineChars="200"/>
        <w:jc w:val="left"/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楷体" w:hAnsi="楷体" w:eastAsia="楷体"/>
          <w:b/>
          <w:color w:val="000000"/>
          <w:szCs w:val="32"/>
        </w:rPr>
        <w:t>5.财政收入。</w:t>
      </w:r>
      <w:r>
        <w:rPr>
          <w:rFonts w:hint="eastAsia" w:ascii="Times New Roman" w:hAnsi="Times New Roman"/>
          <w:color w:val="auto"/>
          <w:szCs w:val="32"/>
          <w:lang w:val="en-US" w:eastAsia="zh-CN"/>
        </w:rPr>
        <w:t>8月份，全市</w:t>
      </w:r>
      <w:r>
        <w:rPr>
          <w:rFonts w:hint="eastAsia"/>
          <w:color w:val="auto"/>
          <w:szCs w:val="32"/>
          <w:lang w:val="en-US" w:eastAsia="zh-CN"/>
        </w:rPr>
        <w:t>一般公共预算收入7.9亿元，同比下降22.3%；财政支出16.4亿元，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同比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下降8.4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%。</w:t>
      </w:r>
    </w:p>
    <w:p>
      <w:pPr>
        <w:pStyle w:val="2"/>
        <w:spacing w:line="600" w:lineRule="exact"/>
        <w:ind w:firstLine="632" w:firstLineChars="200"/>
        <w:jc w:val="left"/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1-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8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月份，全市一般公共预算收入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79.4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亿元，同比增长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6.2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%。一般公共预算收入中，企业所得税增长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5.7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%，个人所得税增长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25.1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%，增值税增长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18.2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%。财政支出完成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179.1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亿元，同比增长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4.6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%。</w:t>
      </w:r>
    </w:p>
    <w:p>
      <w:pPr>
        <w:pStyle w:val="2"/>
        <w:spacing w:line="600" w:lineRule="exact"/>
        <w:ind w:firstLine="632" w:firstLineChars="200"/>
        <w:jc w:val="left"/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楷体" w:hAnsi="楷体" w:eastAsia="楷体"/>
          <w:b/>
          <w:color w:val="000000"/>
          <w:szCs w:val="32"/>
        </w:rPr>
        <w:t>6.金融存贷款。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8月末，全市金融机构人民币存款余额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2612.7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亿元，同比增长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10.3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%，余额比上月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增加18.1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亿元，比年初增加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250.4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亿元。全市金融机构人民币贷款余额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1889.6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亿元，同比增长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9.9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%，余额比上月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增加11.5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亿元，比年初增加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174.8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亿元。</w:t>
      </w:r>
    </w:p>
    <w:p>
      <w:pPr>
        <w:autoSpaceDN w:val="0"/>
        <w:spacing w:before="375" w:beforeLines="0" w:line="375" w:lineRule="atLeast"/>
        <w:ind w:firstLine="632" w:firstLineChars="200"/>
        <w:jc w:val="left"/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楷体" w:hAnsi="楷体" w:eastAsia="楷体"/>
          <w:b/>
          <w:color w:val="000000"/>
          <w:szCs w:val="32"/>
        </w:rPr>
        <w:t>7.居民消费价格。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8月份，全市居民消费价格同比上涨0.6%，八大类商品和服务价格呈现“六升二降”态势，其中医疗保健、居住、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zh-CN" w:eastAsia="zh-CN" w:bidi="ar-SA"/>
        </w:rPr>
        <w:t>教育文化和娱乐、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生活用品及服务、衣着、交通和通信类分别上涨0.1%、0.2%、0.4%、1.1%、1.9%、7.6%；食品烟酒、其他用品和服务类分别下降1.7%、7.0%。</w:t>
      </w:r>
      <w:bookmarkStart w:id="0" w:name="_GoBack"/>
      <w:bookmarkEnd w:id="0"/>
    </w:p>
    <w:p>
      <w:pPr>
        <w:autoSpaceDN w:val="0"/>
        <w:spacing w:before="375" w:beforeLines="0" w:line="375" w:lineRule="atLeast"/>
        <w:ind w:firstLine="632" w:firstLineChars="200"/>
        <w:jc w:val="left"/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1-8月份，全市居民消费价格总水平同比上涨0.4%。</w:t>
      </w:r>
    </w:p>
    <w:p>
      <w:pPr>
        <w:widowControl/>
        <w:spacing w:before="30" w:after="30" w:line="640" w:lineRule="exact"/>
        <w:ind w:left="224" w:leftChars="71" w:right="30" w:firstLine="632" w:firstLineChars="200"/>
        <w:jc w:val="left"/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</w:pPr>
    </w:p>
    <w:sectPr>
      <w:footerReference r:id="rId3" w:type="default"/>
      <w:footerReference r:id="rId4" w:type="even"/>
      <w:pgSz w:w="11906" w:h="16838"/>
      <w:pgMar w:top="1701" w:right="1531" w:bottom="1701" w:left="1531" w:header="992" w:footer="1587" w:gutter="0"/>
      <w:cols w:space="720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创艺简标宋">
    <w:altName w:val="方正舒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8"/>
        <w:sz w:val="24"/>
      </w:rPr>
    </w:pPr>
    <w:r>
      <w:rPr>
        <w:rStyle w:val="8"/>
        <w:rFonts w:hint="eastAsia"/>
        <w:sz w:val="24"/>
      </w:rPr>
      <w:t xml:space="preserve">— </w:t>
    </w:r>
    <w:r>
      <w:rPr>
        <w:sz w:val="24"/>
      </w:rPr>
      <w:fldChar w:fldCharType="begin"/>
    </w:r>
    <w:r>
      <w:rPr>
        <w:rStyle w:val="8"/>
        <w:sz w:val="24"/>
      </w:rPr>
      <w:instrText xml:space="preserve">PAGE  </w:instrText>
    </w:r>
    <w:r>
      <w:rPr>
        <w:sz w:val="24"/>
      </w:rPr>
      <w:fldChar w:fldCharType="separate"/>
    </w:r>
    <w:r>
      <w:rPr>
        <w:rStyle w:val="8"/>
        <w:sz w:val="24"/>
      </w:rPr>
      <w:t>3</w:t>
    </w:r>
    <w:r>
      <w:rPr>
        <w:sz w:val="24"/>
      </w:rPr>
      <w:fldChar w:fldCharType="end"/>
    </w:r>
    <w:r>
      <w:rPr>
        <w:rStyle w:val="8"/>
        <w:rFonts w:hint="eastAsia"/>
        <w:sz w:val="24"/>
      </w:rPr>
      <w:t xml:space="preserve"> —</w:t>
    </w:r>
  </w:p>
  <w:p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1</w:t>
    </w:r>
    <w:r>
      <w:fldChar w:fldCharType="end"/>
    </w:r>
  </w:p>
  <w:p>
    <w:pPr>
      <w:pStyle w:val="4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0AC"/>
    <w:rsid w:val="00034DB1"/>
    <w:rsid w:val="000373DD"/>
    <w:rsid w:val="000438AA"/>
    <w:rsid w:val="00063706"/>
    <w:rsid w:val="00063744"/>
    <w:rsid w:val="00070F35"/>
    <w:rsid w:val="0007469D"/>
    <w:rsid w:val="00081B4A"/>
    <w:rsid w:val="000B0567"/>
    <w:rsid w:val="000D7E6A"/>
    <w:rsid w:val="000E43BE"/>
    <w:rsid w:val="000E4DC9"/>
    <w:rsid w:val="000E6BF3"/>
    <w:rsid w:val="0015131C"/>
    <w:rsid w:val="00164B6D"/>
    <w:rsid w:val="00166474"/>
    <w:rsid w:val="0017004A"/>
    <w:rsid w:val="0017334C"/>
    <w:rsid w:val="00177120"/>
    <w:rsid w:val="00191C76"/>
    <w:rsid w:val="001A5CEF"/>
    <w:rsid w:val="001B6158"/>
    <w:rsid w:val="001D6C28"/>
    <w:rsid w:val="00201591"/>
    <w:rsid w:val="00203455"/>
    <w:rsid w:val="002072B0"/>
    <w:rsid w:val="002241A0"/>
    <w:rsid w:val="00224242"/>
    <w:rsid w:val="00233439"/>
    <w:rsid w:val="00235584"/>
    <w:rsid w:val="00251794"/>
    <w:rsid w:val="00270A4B"/>
    <w:rsid w:val="00280ADA"/>
    <w:rsid w:val="00286205"/>
    <w:rsid w:val="00294AC8"/>
    <w:rsid w:val="00297D0B"/>
    <w:rsid w:val="002A6AE2"/>
    <w:rsid w:val="002B53F8"/>
    <w:rsid w:val="002C06CE"/>
    <w:rsid w:val="002C1BEE"/>
    <w:rsid w:val="002C5F9D"/>
    <w:rsid w:val="002D0641"/>
    <w:rsid w:val="002D33A3"/>
    <w:rsid w:val="002D6FC3"/>
    <w:rsid w:val="002E3332"/>
    <w:rsid w:val="002F1D69"/>
    <w:rsid w:val="00322DF0"/>
    <w:rsid w:val="003455A8"/>
    <w:rsid w:val="003537A0"/>
    <w:rsid w:val="00377790"/>
    <w:rsid w:val="003B350D"/>
    <w:rsid w:val="003C079B"/>
    <w:rsid w:val="003C193E"/>
    <w:rsid w:val="003D7559"/>
    <w:rsid w:val="003E06D3"/>
    <w:rsid w:val="00421B13"/>
    <w:rsid w:val="00426B2D"/>
    <w:rsid w:val="00427B3A"/>
    <w:rsid w:val="00446C1E"/>
    <w:rsid w:val="00452551"/>
    <w:rsid w:val="004619B5"/>
    <w:rsid w:val="004666BA"/>
    <w:rsid w:val="0046777A"/>
    <w:rsid w:val="004816DB"/>
    <w:rsid w:val="00483473"/>
    <w:rsid w:val="00486607"/>
    <w:rsid w:val="004C790A"/>
    <w:rsid w:val="004E5955"/>
    <w:rsid w:val="00515E4A"/>
    <w:rsid w:val="005228BA"/>
    <w:rsid w:val="00552912"/>
    <w:rsid w:val="0055373B"/>
    <w:rsid w:val="00562CF5"/>
    <w:rsid w:val="00572A42"/>
    <w:rsid w:val="005772E6"/>
    <w:rsid w:val="00582D2A"/>
    <w:rsid w:val="005A1A76"/>
    <w:rsid w:val="005B773B"/>
    <w:rsid w:val="005D4001"/>
    <w:rsid w:val="005D6AFF"/>
    <w:rsid w:val="005E015A"/>
    <w:rsid w:val="005E06EF"/>
    <w:rsid w:val="005F7149"/>
    <w:rsid w:val="006051B3"/>
    <w:rsid w:val="0065464C"/>
    <w:rsid w:val="00682F66"/>
    <w:rsid w:val="006901FF"/>
    <w:rsid w:val="006A15D7"/>
    <w:rsid w:val="006B72F1"/>
    <w:rsid w:val="006E11F1"/>
    <w:rsid w:val="007363E6"/>
    <w:rsid w:val="00740E4B"/>
    <w:rsid w:val="00741627"/>
    <w:rsid w:val="00756373"/>
    <w:rsid w:val="00757589"/>
    <w:rsid w:val="00777EC2"/>
    <w:rsid w:val="00790753"/>
    <w:rsid w:val="007A7BD1"/>
    <w:rsid w:val="007B2096"/>
    <w:rsid w:val="007B510C"/>
    <w:rsid w:val="007B68F2"/>
    <w:rsid w:val="007E1BE3"/>
    <w:rsid w:val="007E790C"/>
    <w:rsid w:val="007F0843"/>
    <w:rsid w:val="0080306D"/>
    <w:rsid w:val="00816D71"/>
    <w:rsid w:val="008275C8"/>
    <w:rsid w:val="00835008"/>
    <w:rsid w:val="008450F3"/>
    <w:rsid w:val="008457B4"/>
    <w:rsid w:val="00847091"/>
    <w:rsid w:val="00884FBC"/>
    <w:rsid w:val="0089443A"/>
    <w:rsid w:val="008A00DB"/>
    <w:rsid w:val="008A402B"/>
    <w:rsid w:val="008B2AAF"/>
    <w:rsid w:val="008C3293"/>
    <w:rsid w:val="008C485F"/>
    <w:rsid w:val="008C5298"/>
    <w:rsid w:val="008F4CE4"/>
    <w:rsid w:val="008F5911"/>
    <w:rsid w:val="00903997"/>
    <w:rsid w:val="00917934"/>
    <w:rsid w:val="009336B6"/>
    <w:rsid w:val="00942B66"/>
    <w:rsid w:val="00956A04"/>
    <w:rsid w:val="009671E0"/>
    <w:rsid w:val="00995A72"/>
    <w:rsid w:val="00997BCF"/>
    <w:rsid w:val="009A1D3A"/>
    <w:rsid w:val="009A4B44"/>
    <w:rsid w:val="009D246C"/>
    <w:rsid w:val="009E4EF6"/>
    <w:rsid w:val="009E69E7"/>
    <w:rsid w:val="00A02C92"/>
    <w:rsid w:val="00A10DF0"/>
    <w:rsid w:val="00A52D38"/>
    <w:rsid w:val="00A52ECB"/>
    <w:rsid w:val="00A64CBE"/>
    <w:rsid w:val="00A7613C"/>
    <w:rsid w:val="00A80477"/>
    <w:rsid w:val="00AA1496"/>
    <w:rsid w:val="00AC30C3"/>
    <w:rsid w:val="00AC43D7"/>
    <w:rsid w:val="00AE3D68"/>
    <w:rsid w:val="00AE7D6B"/>
    <w:rsid w:val="00AF51D6"/>
    <w:rsid w:val="00B15438"/>
    <w:rsid w:val="00B170AC"/>
    <w:rsid w:val="00B17394"/>
    <w:rsid w:val="00B36EAB"/>
    <w:rsid w:val="00B4585E"/>
    <w:rsid w:val="00B51741"/>
    <w:rsid w:val="00B67C2D"/>
    <w:rsid w:val="00B71E9C"/>
    <w:rsid w:val="00B91CDD"/>
    <w:rsid w:val="00B92CA9"/>
    <w:rsid w:val="00B94C16"/>
    <w:rsid w:val="00BA7191"/>
    <w:rsid w:val="00BD2FB4"/>
    <w:rsid w:val="00BE2238"/>
    <w:rsid w:val="00C04327"/>
    <w:rsid w:val="00C120BC"/>
    <w:rsid w:val="00C226F5"/>
    <w:rsid w:val="00C4697D"/>
    <w:rsid w:val="00C46BE7"/>
    <w:rsid w:val="00C50345"/>
    <w:rsid w:val="00C66CB5"/>
    <w:rsid w:val="00C7339A"/>
    <w:rsid w:val="00C73C71"/>
    <w:rsid w:val="00C87E92"/>
    <w:rsid w:val="00CA1055"/>
    <w:rsid w:val="00CB1632"/>
    <w:rsid w:val="00CC734A"/>
    <w:rsid w:val="00CD41E6"/>
    <w:rsid w:val="00CE62BD"/>
    <w:rsid w:val="00CE75AD"/>
    <w:rsid w:val="00D04FBB"/>
    <w:rsid w:val="00D102AE"/>
    <w:rsid w:val="00D1195B"/>
    <w:rsid w:val="00D31C1B"/>
    <w:rsid w:val="00D43431"/>
    <w:rsid w:val="00D44386"/>
    <w:rsid w:val="00D63E5F"/>
    <w:rsid w:val="00D64E0F"/>
    <w:rsid w:val="00D65D70"/>
    <w:rsid w:val="00D71B29"/>
    <w:rsid w:val="00D7609E"/>
    <w:rsid w:val="00D84B6D"/>
    <w:rsid w:val="00D909DA"/>
    <w:rsid w:val="00DB4382"/>
    <w:rsid w:val="00DB54DB"/>
    <w:rsid w:val="00DC1B9F"/>
    <w:rsid w:val="00DC2FCF"/>
    <w:rsid w:val="00DD2BC6"/>
    <w:rsid w:val="00DE0413"/>
    <w:rsid w:val="00DE6B89"/>
    <w:rsid w:val="00E00AAC"/>
    <w:rsid w:val="00E15A37"/>
    <w:rsid w:val="00E26F15"/>
    <w:rsid w:val="00E35509"/>
    <w:rsid w:val="00E357F0"/>
    <w:rsid w:val="00E46DB4"/>
    <w:rsid w:val="00E72032"/>
    <w:rsid w:val="00E82C59"/>
    <w:rsid w:val="00E84C80"/>
    <w:rsid w:val="00E929B1"/>
    <w:rsid w:val="00EA15BC"/>
    <w:rsid w:val="00EA1E33"/>
    <w:rsid w:val="00EC1A0D"/>
    <w:rsid w:val="00ED782D"/>
    <w:rsid w:val="00EE0B74"/>
    <w:rsid w:val="00EE4859"/>
    <w:rsid w:val="00F1005F"/>
    <w:rsid w:val="00F22E0D"/>
    <w:rsid w:val="00F36E00"/>
    <w:rsid w:val="00F47AE9"/>
    <w:rsid w:val="00F56244"/>
    <w:rsid w:val="00F60B98"/>
    <w:rsid w:val="00F66054"/>
    <w:rsid w:val="00F66257"/>
    <w:rsid w:val="00F66B0A"/>
    <w:rsid w:val="00F70F73"/>
    <w:rsid w:val="00F81A4B"/>
    <w:rsid w:val="00F85AFA"/>
    <w:rsid w:val="00F86056"/>
    <w:rsid w:val="00F92A43"/>
    <w:rsid w:val="00FA0DE4"/>
    <w:rsid w:val="00FA130D"/>
    <w:rsid w:val="00FA49F3"/>
    <w:rsid w:val="00FB0144"/>
    <w:rsid w:val="00FD0DF3"/>
    <w:rsid w:val="00FE2BE5"/>
    <w:rsid w:val="07A56D6A"/>
    <w:rsid w:val="07D13016"/>
    <w:rsid w:val="09C61EDC"/>
    <w:rsid w:val="0A1C6681"/>
    <w:rsid w:val="0B730830"/>
    <w:rsid w:val="0C043C74"/>
    <w:rsid w:val="0C2C6FFA"/>
    <w:rsid w:val="0C9C6D4B"/>
    <w:rsid w:val="0CF93FBA"/>
    <w:rsid w:val="0EEF0605"/>
    <w:rsid w:val="10B36CCF"/>
    <w:rsid w:val="11393046"/>
    <w:rsid w:val="15733E73"/>
    <w:rsid w:val="15A01D7D"/>
    <w:rsid w:val="15E04778"/>
    <w:rsid w:val="16E31D76"/>
    <w:rsid w:val="174C5C64"/>
    <w:rsid w:val="17CC5715"/>
    <w:rsid w:val="1BF42C50"/>
    <w:rsid w:val="1C27310B"/>
    <w:rsid w:val="1C7D6FCA"/>
    <w:rsid w:val="1CCF3BE3"/>
    <w:rsid w:val="200719C8"/>
    <w:rsid w:val="206A3732"/>
    <w:rsid w:val="208A3A88"/>
    <w:rsid w:val="217978A4"/>
    <w:rsid w:val="23083E9B"/>
    <w:rsid w:val="24A461B0"/>
    <w:rsid w:val="24B11F76"/>
    <w:rsid w:val="28D01900"/>
    <w:rsid w:val="2D152E9F"/>
    <w:rsid w:val="2D2405B1"/>
    <w:rsid w:val="2D893DBF"/>
    <w:rsid w:val="2F2F471E"/>
    <w:rsid w:val="2FA71EA3"/>
    <w:rsid w:val="3010771D"/>
    <w:rsid w:val="32A35A64"/>
    <w:rsid w:val="35BB04B9"/>
    <w:rsid w:val="35F27965"/>
    <w:rsid w:val="38BA7FD5"/>
    <w:rsid w:val="38E51CA5"/>
    <w:rsid w:val="399C665C"/>
    <w:rsid w:val="3B010521"/>
    <w:rsid w:val="3C2806D2"/>
    <w:rsid w:val="3C3C28BE"/>
    <w:rsid w:val="3CCA294D"/>
    <w:rsid w:val="3D117340"/>
    <w:rsid w:val="3D682677"/>
    <w:rsid w:val="3EE84F57"/>
    <w:rsid w:val="3F834547"/>
    <w:rsid w:val="415578C3"/>
    <w:rsid w:val="41E0297A"/>
    <w:rsid w:val="432D1944"/>
    <w:rsid w:val="4ABF7C56"/>
    <w:rsid w:val="4EE52179"/>
    <w:rsid w:val="4F5410CC"/>
    <w:rsid w:val="51216A06"/>
    <w:rsid w:val="52D6569E"/>
    <w:rsid w:val="54116074"/>
    <w:rsid w:val="54DD3A9A"/>
    <w:rsid w:val="57953D60"/>
    <w:rsid w:val="579D7BCE"/>
    <w:rsid w:val="5B3B1E56"/>
    <w:rsid w:val="5C115871"/>
    <w:rsid w:val="5C1F62C3"/>
    <w:rsid w:val="5DAF51E0"/>
    <w:rsid w:val="60C26982"/>
    <w:rsid w:val="61931959"/>
    <w:rsid w:val="61AA73FA"/>
    <w:rsid w:val="63646DEF"/>
    <w:rsid w:val="63F824AD"/>
    <w:rsid w:val="64C7514A"/>
    <w:rsid w:val="652275CB"/>
    <w:rsid w:val="6B3A4C6B"/>
    <w:rsid w:val="6BAC56E3"/>
    <w:rsid w:val="6C651E78"/>
    <w:rsid w:val="6F6749FA"/>
    <w:rsid w:val="721B7371"/>
    <w:rsid w:val="754B2AC5"/>
    <w:rsid w:val="7711013C"/>
    <w:rsid w:val="78654D1D"/>
    <w:rsid w:val="78B44D1B"/>
    <w:rsid w:val="78D941C4"/>
    <w:rsid w:val="7A4E492E"/>
    <w:rsid w:val="7A83274C"/>
    <w:rsid w:val="7C222E78"/>
    <w:rsid w:val="7D5E06CF"/>
    <w:rsid w:val="7EE134D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5"/>
    <w:qFormat/>
    <w:uiPriority w:val="0"/>
    <w:pPr>
      <w:ind w:firstLine="680"/>
    </w:pPr>
    <w:rPr>
      <w:rFonts w:ascii="仿宋_GB2312" w:hAnsi="创艺简标宋"/>
    </w:r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8">
    <w:name w:val="page number"/>
    <w:basedOn w:val="7"/>
    <w:qFormat/>
    <w:uiPriority w:val="0"/>
  </w:style>
  <w:style w:type="character" w:styleId="9">
    <w:name w:val="FollowedHyperlink"/>
    <w:basedOn w:val="7"/>
    <w:semiHidden/>
    <w:unhideWhenUsed/>
    <w:qFormat/>
    <w:uiPriority w:val="99"/>
    <w:rPr>
      <w:color w:val="800080"/>
      <w:u w:val="none"/>
    </w:rPr>
  </w:style>
  <w:style w:type="character" w:styleId="10">
    <w:name w:val="Hyperlink"/>
    <w:basedOn w:val="7"/>
    <w:semiHidden/>
    <w:unhideWhenUsed/>
    <w:qFormat/>
    <w:uiPriority w:val="99"/>
    <w:rPr>
      <w:color w:val="0000FF"/>
      <w:u w:val="none"/>
    </w:rPr>
  </w:style>
  <w:style w:type="character" w:customStyle="1" w:styleId="11">
    <w:name w:val="批注框文本 Char"/>
    <w:basedOn w:val="7"/>
    <w:link w:val="3"/>
    <w:semiHidden/>
    <w:qFormat/>
    <w:uiPriority w:val="99"/>
    <w:rPr>
      <w:sz w:val="18"/>
      <w:szCs w:val="18"/>
    </w:rPr>
  </w:style>
  <w:style w:type="character" w:customStyle="1" w:styleId="12">
    <w:name w:val="页眉 Char"/>
    <w:basedOn w:val="7"/>
    <w:link w:val="5"/>
    <w:qFormat/>
    <w:uiPriority w:val="99"/>
    <w:rPr>
      <w:kern w:val="2"/>
      <w:sz w:val="18"/>
      <w:szCs w:val="18"/>
    </w:rPr>
  </w:style>
  <w:style w:type="character" w:customStyle="1" w:styleId="13">
    <w:name w:val="页脚 Char"/>
    <w:basedOn w:val="7"/>
    <w:link w:val="4"/>
    <w:qFormat/>
    <w:uiPriority w:val="99"/>
    <w:rPr>
      <w:kern w:val="2"/>
      <w:sz w:val="18"/>
      <w:szCs w:val="18"/>
    </w:rPr>
  </w:style>
  <w:style w:type="character" w:customStyle="1" w:styleId="14">
    <w:name w:val="jspeech2"/>
    <w:basedOn w:val="7"/>
    <w:qFormat/>
    <w:uiPriority w:val="0"/>
  </w:style>
  <w:style w:type="character" w:customStyle="1" w:styleId="15">
    <w:name w:val="正文文本缩进 Char"/>
    <w:basedOn w:val="7"/>
    <w:link w:val="2"/>
    <w:qFormat/>
    <w:uiPriority w:val="0"/>
    <w:rPr>
      <w:rFonts w:ascii="仿宋_GB2312" w:hAnsi="创艺简标宋" w:eastAsia="仿宋_GB2312" w:cs="Times New Roman"/>
      <w:kern w:val="2"/>
      <w:sz w:val="32"/>
    </w:rPr>
  </w:style>
  <w:style w:type="paragraph" w:customStyle="1" w:styleId="16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230</Words>
  <Characters>1314</Characters>
  <Lines>10</Lines>
  <Paragraphs>3</Paragraphs>
  <TotalTime>6</TotalTime>
  <ScaleCrop>false</ScaleCrop>
  <LinksUpToDate>false</LinksUpToDate>
  <CharactersWithSpaces>1541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2019-07-24T08:09:00Z</dcterms:created>
  <dc:creator>崔爱民</dc:creator>
  <cp:lastModifiedBy>WPS_1610498046</cp:lastModifiedBy>
  <cp:lastPrinted>2021-06-22T02:39:00Z</cp:lastPrinted>
  <dcterms:modified xsi:type="dcterms:W3CDTF">2021-09-22T00:59:54Z</dcterms:modified>
  <cp:revision>70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8C9E014914694DF0A7072587520347F0</vt:lpwstr>
  </property>
</Properties>
</file>